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C418EA">
              <w:t>00623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18EA" w:rsidP="00A5734F">
            <w:pPr>
              <w:pStyle w:val="Date"/>
            </w:pPr>
            <w:r>
              <w:t>10 January</w:t>
            </w:r>
            <w:r w:rsidR="005D4C13">
              <w:t xml:space="preserve"> </w:t>
            </w:r>
            <w:r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021A1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00623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C021A1" w:rsidP="000D4F5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10 January 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F5128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M3033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EMEB</w:t>
            </w:r>
          </w:p>
        </w:tc>
        <w:tc>
          <w:tcPr>
            <w:tcW w:w="7400" w:type="dxa"/>
            <w:vAlign w:val="center"/>
          </w:tcPr>
          <w:p w:rsidR="00C418EA" w:rsidRDefault="00C418EA" w:rsidP="00C418EA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C418EA" w:rsidRDefault="000F5128" w:rsidP="000F5128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</w:t>
            </w:r>
            <w:r w:rsidRPr="0076347B"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>6</w:t>
            </w:r>
            <w:r>
              <w:rPr>
                <w:i/>
                <w:color w:val="auto"/>
              </w:rPr>
              <w:t>5</w:t>
            </w:r>
            <w:r>
              <w:rPr>
                <w:i/>
                <w:color w:val="auto"/>
              </w:rPr>
              <w:t xml:space="preserve">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14/02/18</w:t>
            </w:r>
            <w:r>
              <w:rPr>
                <w:i/>
                <w:color w:val="auto"/>
              </w:rPr>
              <w:t>)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M3034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GGEN</w:t>
            </w:r>
          </w:p>
        </w:tc>
        <w:tc>
          <w:tcPr>
            <w:tcW w:w="7400" w:type="dxa"/>
            <w:vAlign w:val="center"/>
          </w:tcPr>
          <w:p w:rsidR="00C418EA" w:rsidRDefault="00C418EA" w:rsidP="00C418EA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</w:t>
            </w:r>
            <w:r>
              <w:rPr>
                <w:color w:val="auto"/>
              </w:rPr>
              <w:t xml:space="preserve"> 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>in PES area</w:t>
            </w:r>
          </w:p>
          <w:p w:rsidR="00C418EA" w:rsidRDefault="00C418EA" w:rsidP="00C418EA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14/02/</w:t>
            </w:r>
            <w:r>
              <w:rPr>
                <w:i/>
              </w:rPr>
              <w:t>2018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M3035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MANW</w:t>
            </w:r>
          </w:p>
        </w:tc>
        <w:tc>
          <w:tcPr>
            <w:tcW w:w="7400" w:type="dxa"/>
            <w:vAlign w:val="center"/>
          </w:tcPr>
          <w:p w:rsidR="00C418EA" w:rsidRDefault="001E42F7" w:rsidP="00457C6B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 NHH Combinations</w:t>
            </w:r>
          </w:p>
          <w:p w:rsidR="001E42F7" w:rsidRDefault="001E42F7" w:rsidP="00457C6B">
            <w:pPr>
              <w:pStyle w:val="Tabletext"/>
              <w:ind w:left="0"/>
              <w:rPr>
                <w:i/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>: 1</w:t>
            </w:r>
            <w:r w:rsidR="000F5128">
              <w:rPr>
                <w:i/>
                <w:color w:val="auto"/>
              </w:rPr>
              <w:t>4</w:t>
            </w:r>
            <w:r>
              <w:rPr>
                <w:i/>
                <w:color w:val="auto"/>
              </w:rPr>
              <w:t>/02/2018</w:t>
            </w:r>
          </w:p>
          <w:p w:rsidR="001E42F7" w:rsidRDefault="001E42F7" w:rsidP="00457C6B">
            <w:pPr>
              <w:pStyle w:val="Tabletext"/>
              <w:ind w:left="0"/>
              <w:rPr>
                <w:color w:val="auto"/>
              </w:rPr>
            </w:pPr>
            <w:r w:rsidRPr="001E42F7">
              <w:rPr>
                <w:color w:val="auto"/>
              </w:rPr>
              <w:t>Creation of new valid NHH Combinations</w:t>
            </w:r>
            <w:r w:rsidR="000F5128">
              <w:rPr>
                <w:color w:val="auto"/>
              </w:rPr>
              <w:t xml:space="preserve"> with Preserved Tariff Indicator of “T”</w:t>
            </w:r>
          </w:p>
          <w:p w:rsidR="001E42F7" w:rsidRPr="001E42F7" w:rsidRDefault="001E42F7" w:rsidP="000F5128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</w:t>
            </w:r>
            <w:r w:rsidR="000F5128">
              <w:rPr>
                <w:i/>
                <w:color w:val="auto"/>
              </w:rPr>
              <w:t>5</w:t>
            </w:r>
            <w:r>
              <w:rPr>
                <w:i/>
                <w:color w:val="auto"/>
              </w:rPr>
              <w:t>/02/</w:t>
            </w:r>
            <w:r>
              <w:rPr>
                <w:i/>
              </w:rPr>
              <w:t>2018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M3036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MIDE</w:t>
            </w:r>
          </w:p>
        </w:tc>
        <w:tc>
          <w:tcPr>
            <w:tcW w:w="7400" w:type="dxa"/>
            <w:vAlign w:val="center"/>
          </w:tcPr>
          <w:p w:rsidR="001E42F7" w:rsidRDefault="001E42F7" w:rsidP="001E42F7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C418EA" w:rsidRDefault="000F5128" w:rsidP="00C021A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</w:t>
            </w:r>
            <w:r w:rsidRPr="0076347B"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 xml:space="preserve">65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14/02/18)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M3037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C021A1" w:rsidRDefault="00C021A1" w:rsidP="00C021A1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 xml:space="preserve">new LLFCs and </w:t>
            </w:r>
            <w:r>
              <w:rPr>
                <w:color w:val="auto"/>
              </w:rPr>
              <w:t>associated HH and NHH</w:t>
            </w:r>
            <w:r w:rsidRPr="00840F32">
              <w:rPr>
                <w:color w:val="auto"/>
              </w:rPr>
              <w:t xml:space="preserve"> Combinations</w:t>
            </w:r>
          </w:p>
          <w:p w:rsidR="00C418EA" w:rsidRDefault="00C021A1" w:rsidP="00C021A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14/02/</w:t>
            </w:r>
            <w:r>
              <w:rPr>
                <w:i/>
              </w:rPr>
              <w:t>2018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M3038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SPOW</w:t>
            </w:r>
          </w:p>
        </w:tc>
        <w:tc>
          <w:tcPr>
            <w:tcW w:w="7400" w:type="dxa"/>
            <w:vAlign w:val="center"/>
          </w:tcPr>
          <w:p w:rsidR="000F5128" w:rsidRDefault="000F5128" w:rsidP="000F5128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 NHH Combinations</w:t>
            </w:r>
          </w:p>
          <w:p w:rsidR="000F5128" w:rsidRDefault="000F5128" w:rsidP="000F5128">
            <w:pPr>
              <w:pStyle w:val="Tabletext"/>
              <w:ind w:left="0"/>
              <w:rPr>
                <w:i/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>: 14/02/2018</w:t>
            </w:r>
          </w:p>
          <w:p w:rsidR="000F5128" w:rsidRDefault="000F5128" w:rsidP="000F5128">
            <w:pPr>
              <w:pStyle w:val="Tabletext"/>
              <w:ind w:left="0"/>
              <w:rPr>
                <w:color w:val="auto"/>
              </w:rPr>
            </w:pPr>
            <w:r w:rsidRPr="001E42F7">
              <w:rPr>
                <w:color w:val="auto"/>
              </w:rPr>
              <w:t>Creation of new valid NHH Combinations</w:t>
            </w:r>
            <w:r>
              <w:rPr>
                <w:color w:val="auto"/>
              </w:rPr>
              <w:t xml:space="preserve"> with Preserved Tariff Indicator of “T”</w:t>
            </w:r>
          </w:p>
          <w:p w:rsidR="00C418EA" w:rsidRDefault="000F5128" w:rsidP="000F5128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15/02/</w:t>
            </w:r>
            <w:r>
              <w:rPr>
                <w:i/>
              </w:rPr>
              <w:t>2018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M3039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400" w:type="dxa"/>
            <w:vAlign w:val="center"/>
          </w:tcPr>
          <w:p w:rsidR="00C021A1" w:rsidRDefault="00C021A1" w:rsidP="00C021A1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Creation of new LLFCs,</w:t>
            </w:r>
            <w:r w:rsidRPr="00840F32">
              <w:rPr>
                <w:color w:val="auto"/>
              </w:rPr>
              <w:t xml:space="preserve"> MTC LLFC Combinations</w:t>
            </w:r>
            <w:r>
              <w:rPr>
                <w:color w:val="auto"/>
              </w:rPr>
              <w:t xml:space="preserve"> and  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>in PES area</w:t>
            </w:r>
          </w:p>
          <w:p w:rsidR="00C418EA" w:rsidRDefault="000F5128" w:rsidP="00C021A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</w:t>
            </w:r>
            <w:r w:rsidRPr="0076347B"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 xml:space="preserve">65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14/02/18)</w:t>
            </w:r>
          </w:p>
        </w:tc>
      </w:tr>
      <w:tr w:rsidR="00C418E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C418EA" w:rsidRDefault="00C418EA" w:rsidP="00A5734F">
            <w:pPr>
              <w:pStyle w:val="Tabletext"/>
              <w:jc w:val="center"/>
            </w:pPr>
            <w:r>
              <w:t>M3040</w:t>
            </w:r>
          </w:p>
        </w:tc>
        <w:tc>
          <w:tcPr>
            <w:tcW w:w="1489" w:type="dxa"/>
            <w:vAlign w:val="center"/>
          </w:tcPr>
          <w:p w:rsidR="00C418EA" w:rsidRDefault="00C418EA" w:rsidP="00457C6B">
            <w:pPr>
              <w:pStyle w:val="Tabletext"/>
              <w:jc w:val="center"/>
            </w:pPr>
            <w:r>
              <w:t>SWEB</w:t>
            </w:r>
          </w:p>
        </w:tc>
        <w:tc>
          <w:tcPr>
            <w:tcW w:w="7400" w:type="dxa"/>
            <w:vAlign w:val="center"/>
          </w:tcPr>
          <w:p w:rsidR="00C021A1" w:rsidRDefault="00C021A1" w:rsidP="00C021A1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C418EA" w:rsidRDefault="000F5128" w:rsidP="00C021A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</w:t>
            </w:r>
            <w:r w:rsidRPr="0076347B">
              <w:rPr>
                <w:i/>
                <w:color w:val="auto"/>
              </w:rPr>
              <w:t>2</w:t>
            </w:r>
            <w:r>
              <w:rPr>
                <w:i/>
                <w:color w:val="auto"/>
              </w:rPr>
              <w:t xml:space="preserve">65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14/02/18)</w:t>
            </w:r>
            <w:bookmarkStart w:id="0" w:name="_GoBack"/>
            <w:bookmarkEnd w:id="0"/>
          </w:p>
        </w:tc>
      </w:tr>
      <w:tr w:rsidR="0035505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35505A" w:rsidRPr="00A5734F" w:rsidRDefault="00C418EA" w:rsidP="00A5734F">
            <w:pPr>
              <w:pStyle w:val="Tabletext"/>
              <w:jc w:val="center"/>
            </w:pPr>
            <w:r>
              <w:t>M3041</w:t>
            </w:r>
          </w:p>
        </w:tc>
        <w:tc>
          <w:tcPr>
            <w:tcW w:w="1489" w:type="dxa"/>
            <w:vAlign w:val="center"/>
          </w:tcPr>
          <w:p w:rsidR="0035505A" w:rsidRDefault="0035505A" w:rsidP="00457C6B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35505A" w:rsidRDefault="0035505A" w:rsidP="00457C6B">
            <w:pPr>
              <w:pStyle w:val="Tabletext"/>
              <w:ind w:left="0"/>
            </w:pPr>
            <w:r>
              <w:t>Inclusion of Charge Codes and Switch Regimes</w:t>
            </w:r>
          </w:p>
          <w:p w:rsidR="0035505A" w:rsidRDefault="0035505A" w:rsidP="00A42076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C418EA">
              <w:rPr>
                <w:i/>
                <w:color w:val="auto"/>
              </w:rPr>
              <w:t>14/02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</w:t>
            </w:r>
            <w:r w:rsidR="00A42076">
              <w:rPr>
                <w:i/>
              </w:rPr>
              <w:t>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lastRenderedPageBreak/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C021A1">
        <w:t>location Group (SVG) meeting 204</w:t>
      </w:r>
      <w:r>
        <w:t xml:space="preserve"> on </w:t>
      </w:r>
      <w:r w:rsidR="00C021A1">
        <w:t>30 January</w:t>
      </w:r>
      <w:r w:rsidR="005D4C13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C021A1">
        <w:rPr>
          <w:b/>
        </w:rPr>
        <w:t>17</w:t>
      </w:r>
      <w:r w:rsidR="005D4C13">
        <w:rPr>
          <w:b/>
        </w:rPr>
        <w:t xml:space="preserve"> </w:t>
      </w:r>
      <w:r w:rsidR="00C021A1">
        <w:rPr>
          <w:b/>
        </w:rPr>
        <w:t>January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</w:t>
      </w:r>
      <w:r w:rsidR="00C021A1">
        <w:t>5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C021A1">
        <w:rPr>
          <w:b/>
        </w:rPr>
        <w:t>17</w:t>
      </w:r>
      <w:r w:rsidR="00964905">
        <w:rPr>
          <w:b/>
        </w:rPr>
        <w:t xml:space="preserve"> </w:t>
      </w:r>
      <w:r w:rsidR="00C021A1">
        <w:rPr>
          <w:b/>
        </w:rPr>
        <w:t>January</w:t>
      </w:r>
      <w:r w:rsidR="004D3294">
        <w:rPr>
          <w:b/>
        </w:rPr>
        <w:t xml:space="preserve">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C021A1">
        <w:t>M3033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M3034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M3035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M3036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M3037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M3038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M3039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M3040</w:t>
      </w:r>
    </w:p>
    <w:p w:rsidR="00C021A1" w:rsidRDefault="00C021A1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M3041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0F5128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F20207">
          <w:pPr>
            <w:pStyle w:val="Footer"/>
          </w:pPr>
          <w:r>
            <w:t>00623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BBDA33B" wp14:editId="152BECB2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F512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0F5128">
            <w:fldChar w:fldCharType="begin"/>
          </w:r>
          <w:r w:rsidR="000F5128">
            <w:instrText xml:space="preserve"> NUMPAGES  \* Arabic  \* MERGEFORMAT </w:instrText>
          </w:r>
          <w:r w:rsidR="000F5128">
            <w:fldChar w:fldCharType="separate"/>
          </w:r>
          <w:r w:rsidR="000F5128">
            <w:rPr>
              <w:noProof/>
            </w:rPr>
            <w:t>3</w:t>
          </w:r>
          <w:r w:rsidR="000F5128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021A1" w:rsidP="000D4F5E">
          <w:pPr>
            <w:pStyle w:val="Footer"/>
            <w:rPr>
              <w:noProof/>
            </w:rPr>
          </w:pPr>
          <w:r>
            <w:rPr>
              <w:noProof/>
            </w:rPr>
            <w:t>10 January 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F5128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0F5128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4131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18EA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C584-ECC5-4F30-9DC8-A5C04764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2</cp:revision>
  <cp:lastPrinted>2017-03-15T09:16:00Z</cp:lastPrinted>
  <dcterms:created xsi:type="dcterms:W3CDTF">2018-01-10T10:35:00Z</dcterms:created>
  <dcterms:modified xsi:type="dcterms:W3CDTF">2018-01-10T10:35:00Z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